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57" w:hanging="0"/>
        <w:jc w:val="center"/>
      </w:pPr>
      <w:r>
        <w:rPr>
          <w:rStyle w:val="Mocnowyrniony"/>
          <w:color w:val="000000"/>
        </w:rPr>
        <w:t>REGULAMIN</w:t>
      </w:r>
      <w:r/>
    </w:p>
    <w:p>
      <w:pPr>
        <w:pStyle w:val="Tretekstu"/>
        <w:jc w:val="center"/>
      </w:pPr>
      <w:r>
        <w:rPr>
          <w:rStyle w:val="Mocnowyrniony"/>
          <w:color w:val="000000"/>
        </w:rPr>
        <w:t>XII MALBORSKIEGO PRZEGLĄDU SPEKTAKLI PROFILAKTYCZNYCH</w:t>
      </w:r>
      <w:r/>
    </w:p>
    <w:p>
      <w:pPr>
        <w:pStyle w:val="Normal"/>
        <w:spacing w:lineRule="auto" w:line="360"/>
        <w:jc w:val="both"/>
        <w:rPr>
          <w:u w:val="single"/>
          <w:color w:val="000000"/>
        </w:rPr>
      </w:pPr>
      <w:r>
        <w:rPr>
          <w:color w:val="000000"/>
          <w:u w:val="single"/>
        </w:rPr>
        <w:t>Cele:</w:t>
      </w:r>
      <w:r/>
    </w:p>
    <w:p>
      <w:pPr>
        <w:pStyle w:val="Normal"/>
        <w:numPr>
          <w:ilvl w:val="0"/>
          <w:numId w:val="2"/>
        </w:numPr>
        <w:tabs>
          <w:tab w:val="left" w:pos="-720" w:leader="none"/>
        </w:tabs>
        <w:spacing w:lineRule="auto" w:line="360"/>
        <w:jc w:val="both"/>
        <w:rPr>
          <w:color w:val="000000"/>
        </w:rPr>
      </w:pPr>
      <w:r>
        <w:rPr>
          <w:color w:val="000000"/>
        </w:rPr>
        <w:t>Promocja zdrowego stylu życia, trzeźwości i abstynencji przez upowszechnianie wzorów</w:t>
        <w:br/>
        <w:t>i postaw prozdrowotnych.</w:t>
      </w:r>
      <w:r/>
    </w:p>
    <w:p>
      <w:pPr>
        <w:pStyle w:val="Normal"/>
        <w:numPr>
          <w:ilvl w:val="0"/>
          <w:numId w:val="2"/>
        </w:numPr>
        <w:tabs>
          <w:tab w:val="left" w:pos="-720" w:leader="none"/>
        </w:tabs>
        <w:spacing w:lineRule="auto" w:line="360"/>
        <w:jc w:val="both"/>
        <w:rPr>
          <w:color w:val="000000"/>
        </w:rPr>
      </w:pPr>
      <w:r>
        <w:rPr>
          <w:color w:val="000000"/>
        </w:rPr>
        <w:t>Zaangażowanie rodziców w oddziaływania profilaktyczne.</w:t>
      </w:r>
      <w:r/>
    </w:p>
    <w:p>
      <w:pPr>
        <w:pStyle w:val="Normal"/>
        <w:numPr>
          <w:ilvl w:val="0"/>
          <w:numId w:val="2"/>
        </w:numPr>
        <w:tabs>
          <w:tab w:val="left" w:pos="-720" w:leader="none"/>
        </w:tabs>
        <w:spacing w:lineRule="auto" w:line="360"/>
        <w:jc w:val="both"/>
        <w:rPr>
          <w:iCs/>
          <w:color w:val="000000"/>
        </w:rPr>
      </w:pPr>
      <w:r>
        <w:rPr>
          <w:iCs/>
          <w:color w:val="000000"/>
        </w:rPr>
        <w:t>Pobudzanie kreatywnej postawy wykonawców w procesie zdobywania umiejętności ekspresji myśli i uczuć.</w:t>
      </w:r>
      <w:r/>
    </w:p>
    <w:p>
      <w:pPr>
        <w:pStyle w:val="Normal"/>
        <w:numPr>
          <w:ilvl w:val="0"/>
          <w:numId w:val="2"/>
        </w:numPr>
        <w:tabs>
          <w:tab w:val="left" w:pos="-720" w:leader="none"/>
        </w:tabs>
        <w:spacing w:lineRule="auto" w:line="360"/>
        <w:jc w:val="both"/>
        <w:rPr>
          <w:iCs/>
          <w:color w:val="000000"/>
        </w:rPr>
      </w:pPr>
      <w:r>
        <w:rPr>
          <w:iCs/>
          <w:color w:val="000000"/>
        </w:rPr>
        <w:t>Zachęcanie uczestników do projektowania programu teatralnego i promocji własnych przedstawień scenicznych.</w:t>
      </w:r>
      <w:r/>
    </w:p>
    <w:p>
      <w:pPr>
        <w:pStyle w:val="Normal"/>
        <w:numPr>
          <w:ilvl w:val="0"/>
          <w:numId w:val="2"/>
        </w:numPr>
        <w:tabs>
          <w:tab w:val="left" w:pos="-720" w:leader="none"/>
        </w:tabs>
        <w:spacing w:lineRule="auto" w:line="360"/>
        <w:jc w:val="both"/>
        <w:rPr>
          <w:iCs/>
          <w:color w:val="000000"/>
        </w:rPr>
      </w:pPr>
      <w:r>
        <w:rPr>
          <w:iCs/>
          <w:color w:val="000000"/>
        </w:rPr>
        <w:t>Szerzenie kultury żywego słowa oraz doskonalenie umiejętności obserwacji, świadomego odbioru i oceny przedstawień scenicznych.</w:t>
      </w:r>
      <w:r/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 </w:t>
      </w:r>
      <w:r/>
    </w:p>
    <w:p>
      <w:pPr>
        <w:pStyle w:val="Normal"/>
        <w:spacing w:lineRule="auto" w:line="360"/>
        <w:jc w:val="both"/>
        <w:rPr>
          <w:u w:val="single"/>
          <w:color w:val="000000"/>
        </w:rPr>
      </w:pPr>
      <w:r>
        <w:rPr>
          <w:color w:val="000000"/>
          <w:u w:val="single"/>
        </w:rPr>
        <w:t>Adresaci:</w:t>
      </w:r>
      <w:r/>
    </w:p>
    <w:p>
      <w:pPr>
        <w:pStyle w:val="Normal"/>
        <w:spacing w:lineRule="auto" w:line="360"/>
        <w:ind w:left="720" w:hanging="0"/>
        <w:jc w:val="both"/>
        <w:rPr>
          <w:color w:val="000000"/>
        </w:rPr>
      </w:pPr>
      <w:r>
        <w:rPr>
          <w:color w:val="000000"/>
        </w:rPr>
        <w:t>Do udziału w przeglądzie zapraszamy uczniów klas VI, VII I VIII szkół podstawowych oraz III gimnazjum z terenu miasta Malborka i Nowego Stawu.</w:t>
      </w:r>
      <w:r/>
    </w:p>
    <w:p>
      <w:pPr>
        <w:pStyle w:val="Normal"/>
        <w:spacing w:lineRule="auto" w:line="360"/>
        <w:ind w:left="720" w:hanging="0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Normal"/>
        <w:spacing w:lineRule="auto" w:line="360"/>
        <w:jc w:val="both"/>
        <w:rPr>
          <w:u w:val="single"/>
          <w:color w:val="000000"/>
        </w:rPr>
      </w:pPr>
      <w:r>
        <w:rPr>
          <w:color w:val="000000"/>
          <w:u w:val="single"/>
        </w:rPr>
        <w:t>Założenia:</w:t>
      </w:r>
      <w:r/>
    </w:p>
    <w:p>
      <w:pPr>
        <w:pStyle w:val="Normal"/>
        <w:numPr>
          <w:ilvl w:val="0"/>
          <w:numId w:val="3"/>
        </w:numPr>
        <w:tabs>
          <w:tab w:val="left" w:pos="-720" w:leader="none"/>
        </w:tabs>
        <w:spacing w:lineRule="auto" w:line="360"/>
        <w:jc w:val="both"/>
      </w:pPr>
      <w:r>
        <w:rPr>
          <w:rStyle w:val="Domylnaczcionkaakapitu"/>
          <w:color w:val="000000"/>
        </w:rPr>
        <w:t xml:space="preserve">Temat przedstawienia teatralnego dotyczy autentycznych problemów zgłaszanych przez młodzież oraz pokazuje konstruktywne sposoby ich rozwiązania. </w:t>
      </w:r>
      <w:r>
        <w:rPr>
          <w:rStyle w:val="Domylnaczcionkaakapitu"/>
          <w:b/>
          <w:color w:val="000000"/>
        </w:rPr>
        <w:t>Scenariusz sztuki jest tekstem autorskim tworzonym przez młodzież.</w:t>
      </w:r>
      <w:r/>
    </w:p>
    <w:p>
      <w:pPr>
        <w:pStyle w:val="Normal"/>
        <w:numPr>
          <w:ilvl w:val="0"/>
          <w:numId w:val="3"/>
        </w:numPr>
        <w:tabs>
          <w:tab w:val="left" w:pos="-720" w:leader="none"/>
        </w:tabs>
        <w:spacing w:lineRule="auto" w:line="360"/>
        <w:jc w:val="both"/>
        <w:rPr>
          <w:color w:val="000000"/>
        </w:rPr>
      </w:pPr>
      <w:r>
        <w:rPr>
          <w:color w:val="000000"/>
        </w:rPr>
        <w:t>Przedstawienie stanowi element działań profilaktycznych realizowanych bądź zaplanowanych do realizacji w środowisku wykonawców.</w:t>
      </w:r>
      <w:r/>
    </w:p>
    <w:p>
      <w:pPr>
        <w:pStyle w:val="Normal"/>
        <w:numPr>
          <w:ilvl w:val="0"/>
          <w:numId w:val="3"/>
        </w:numPr>
        <w:tabs>
          <w:tab w:val="left" w:pos="-720" w:leader="none"/>
        </w:tabs>
        <w:spacing w:lineRule="auto" w:line="360"/>
        <w:jc w:val="both"/>
      </w:pPr>
      <w:r>
        <w:rPr>
          <w:rStyle w:val="Domylnaczcionkaakapitu"/>
          <w:color w:val="000000"/>
        </w:rPr>
        <w:t xml:space="preserve">W przedsięwzięciu bierze udział cała klasa, natomiast </w:t>
      </w:r>
      <w:r>
        <w:rPr>
          <w:rStyle w:val="Domylnaczcionkaakapitu"/>
          <w:b/>
          <w:bCs/>
          <w:color w:val="000000"/>
        </w:rPr>
        <w:t>grupa wykonawców</w:t>
        <w:br/>
        <w:t>w przedstawieniu</w:t>
      </w:r>
      <w:r>
        <w:rPr>
          <w:rStyle w:val="Domylnaczcionkaakapitu"/>
          <w:b/>
          <w:color w:val="000000"/>
        </w:rPr>
        <w:t xml:space="preserve"> może liczyć maksymalnie 15 osób.</w:t>
      </w:r>
      <w:r/>
    </w:p>
    <w:p>
      <w:pPr>
        <w:pStyle w:val="Normal"/>
        <w:numPr>
          <w:ilvl w:val="0"/>
          <w:numId w:val="3"/>
        </w:numPr>
        <w:tabs>
          <w:tab w:val="left" w:pos="-720" w:leader="none"/>
        </w:tabs>
        <w:spacing w:lineRule="auto" w:line="360"/>
        <w:jc w:val="both"/>
        <w:rPr>
          <w:color w:val="000000"/>
        </w:rPr>
      </w:pPr>
      <w:r>
        <w:rPr>
          <w:color w:val="000000"/>
        </w:rPr>
        <w:t>Rodzice aktywnie uczestniczą w pracach nad przedstawieniem np. przez udział</w:t>
        <w:br/>
        <w:t>w inscenizacji, pomoc w przygotowaniu scenografii, kostiumów, udzielanie wsparcia, zapewnienie transportu, obecność na Przeglądzie w roli widza itp.</w:t>
      </w:r>
      <w:r/>
    </w:p>
    <w:p>
      <w:pPr>
        <w:pStyle w:val="Normal"/>
        <w:tabs>
          <w:tab w:val="left" w:pos="0" w:leader="none"/>
        </w:tabs>
        <w:spacing w:lineRule="auto" w:line="360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Normal"/>
        <w:spacing w:lineRule="auto" w:line="360"/>
        <w:jc w:val="both"/>
        <w:rPr>
          <w:u w:val="single"/>
          <w:color w:val="000000"/>
        </w:rPr>
      </w:pPr>
      <w:r>
        <w:rPr>
          <w:color w:val="000000"/>
          <w:u w:val="single"/>
        </w:rPr>
        <w:t>Wymagania:</w:t>
      </w:r>
      <w:r/>
    </w:p>
    <w:p>
      <w:pPr>
        <w:pStyle w:val="Normal"/>
        <w:numPr>
          <w:ilvl w:val="0"/>
          <w:numId w:val="4"/>
        </w:numPr>
        <w:tabs>
          <w:tab w:val="left" w:pos="21" w:leader="none"/>
        </w:tabs>
        <w:spacing w:lineRule="auto" w:line="360"/>
        <w:jc w:val="both"/>
        <w:rPr>
          <w:color w:val="000000"/>
        </w:rPr>
      </w:pPr>
      <w:r>
        <w:rPr>
          <w:color w:val="000000"/>
        </w:rPr>
        <w:t>Czas trwania prezentacji – do 20 minut, plus łączny czas na montaż i demontaż scenografii - 10 minut.</w:t>
      </w:r>
      <w:r/>
    </w:p>
    <w:p>
      <w:pPr>
        <w:pStyle w:val="Normal"/>
        <w:widowControl/>
        <w:numPr>
          <w:ilvl w:val="0"/>
          <w:numId w:val="4"/>
        </w:numPr>
        <w:tabs>
          <w:tab w:val="left" w:pos="21" w:leader="none"/>
        </w:tabs>
        <w:spacing w:lineRule="auto" w:line="360"/>
        <w:jc w:val="both"/>
        <w:rPr>
          <w:color w:val="000000"/>
        </w:rPr>
      </w:pPr>
      <w:r>
        <w:rPr>
          <w:color w:val="000000"/>
        </w:rPr>
        <w:t>Zespoły korzystające w przedstawieniu z podkładów muzycznych zobowiązane są do przygotowania nagrań wyłącznie na płytach CD, z dokładnym opisem (kolejność wykorzystywanych w przedstawieniu utworów i nazwa Zespołu).</w:t>
      </w:r>
      <w:r/>
    </w:p>
    <w:p>
      <w:pPr>
        <w:pStyle w:val="Normal"/>
        <w:spacing w:lineRule="auto" w:line="360"/>
        <w:jc w:val="both"/>
        <w:rPr>
          <w:u w:val="single"/>
          <w:color w:val="000000"/>
        </w:rPr>
      </w:pPr>
      <w:r>
        <w:rPr>
          <w:color w:val="000000"/>
          <w:u w:val="single"/>
        </w:rPr>
        <w:t>Kryteria oceny:</w:t>
      </w:r>
      <w:r/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  <w:t>Jury podda ocenie:</w:t>
      </w:r>
      <w:r/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color w:val="000000"/>
        </w:rPr>
      </w:pPr>
      <w:r>
        <w:rPr>
          <w:color w:val="000000"/>
        </w:rPr>
        <w:t>Konstruktywny, profilaktyczny przekaz treści,</w:t>
      </w:r>
      <w:r/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color w:val="000000"/>
        </w:rPr>
      </w:pPr>
      <w:r>
        <w:rPr>
          <w:color w:val="000000"/>
        </w:rPr>
        <w:t>Przekaz dostosowany do wieku odbiorców,</w:t>
      </w:r>
      <w:r/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color w:val="000000"/>
        </w:rPr>
      </w:pPr>
      <w:r>
        <w:rPr>
          <w:color w:val="000000"/>
        </w:rPr>
        <w:t>Autentyczność wypowiedzi młodych ludzi,</w:t>
      </w:r>
      <w:r/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color w:val="000000"/>
        </w:rPr>
      </w:pPr>
      <w:r>
        <w:rPr>
          <w:color w:val="000000"/>
        </w:rPr>
        <w:t>Poziom artystyczny spektaklu,</w:t>
      </w:r>
      <w:r/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color w:val="000000"/>
        </w:rPr>
      </w:pPr>
      <w:r>
        <w:rPr>
          <w:color w:val="000000"/>
        </w:rPr>
        <w:t>Reakcję publiczności na spektakl,</w:t>
      </w:r>
      <w:r/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Normal"/>
        <w:spacing w:lineRule="auto" w:line="360"/>
        <w:jc w:val="both"/>
        <w:rPr>
          <w:u w:val="single"/>
          <w:color w:val="000000"/>
        </w:rPr>
      </w:pPr>
      <w:r>
        <w:rPr>
          <w:color w:val="000000"/>
          <w:u w:val="single"/>
        </w:rPr>
        <w:t>Sprawy organizacyjne:</w:t>
      </w:r>
      <w:r/>
    </w:p>
    <w:p>
      <w:pPr>
        <w:pStyle w:val="Normal"/>
        <w:widowControl/>
        <w:numPr>
          <w:ilvl w:val="1"/>
          <w:numId w:val="1"/>
        </w:numPr>
        <w:tabs>
          <w:tab w:val="left" w:pos="738" w:leader="none"/>
        </w:tabs>
        <w:spacing w:lineRule="auto" w:line="360"/>
        <w:ind w:left="680" w:hanging="340"/>
        <w:jc w:val="both"/>
      </w:pPr>
      <w:r>
        <w:rPr>
          <w:rStyle w:val="Domylnaczcionkaakapitu"/>
          <w:color w:val="000000"/>
        </w:rPr>
        <w:t xml:space="preserve">Przegląd odbędzie  się w dniu </w:t>
      </w:r>
      <w:r>
        <w:rPr>
          <w:rStyle w:val="Domylnaczcionkaakapitu"/>
          <w:b/>
          <w:bCs/>
          <w:color w:val="000000"/>
        </w:rPr>
        <w:t xml:space="preserve">24 maja 2019 roku o godzinie 10.00 w Sali Widowiskowej Klubu 22. Bazy Lotnictwa Taktycznego w Malborku, </w:t>
      </w:r>
      <w:r>
        <w:rPr>
          <w:rStyle w:val="Domylnaczcionkaakapitu"/>
          <w:color w:val="000000"/>
        </w:rPr>
        <w:t>przy ul. Gen. Wł. Sikorskiego 33.</w:t>
      </w:r>
      <w:r/>
    </w:p>
    <w:p>
      <w:pPr>
        <w:pStyle w:val="Normal"/>
        <w:widowControl/>
        <w:numPr>
          <w:ilvl w:val="1"/>
          <w:numId w:val="1"/>
        </w:numPr>
        <w:tabs>
          <w:tab w:val="left" w:pos="738" w:leader="none"/>
        </w:tabs>
        <w:spacing w:lineRule="auto" w:line="360"/>
        <w:ind w:left="680" w:hanging="340"/>
        <w:jc w:val="both"/>
      </w:pPr>
      <w:r>
        <w:rPr>
          <w:rStyle w:val="Domylnaczcionkaakapitu"/>
          <w:color w:val="000000"/>
        </w:rPr>
        <w:t xml:space="preserve">Do finału zaproszone zostaną grupy na podstawie przesłanych do </w:t>
      </w:r>
      <w:r>
        <w:rPr>
          <w:rStyle w:val="Domylnaczcionkaakapitu"/>
          <w:b/>
          <w:color w:val="000000"/>
        </w:rPr>
        <w:t>10 maja 2019</w:t>
      </w:r>
      <w:r>
        <w:rPr>
          <w:rStyle w:val="Domylnaczcionkaakapitu"/>
          <w:color w:val="000000"/>
        </w:rPr>
        <w:t xml:space="preserve"> roku kart zgłoszeń.</w:t>
      </w:r>
      <w:r/>
    </w:p>
    <w:p>
      <w:pPr>
        <w:pStyle w:val="Normal"/>
        <w:widowControl/>
        <w:numPr>
          <w:ilvl w:val="1"/>
          <w:numId w:val="1"/>
        </w:numPr>
        <w:tabs>
          <w:tab w:val="left" w:pos="738" w:leader="none"/>
        </w:tabs>
        <w:spacing w:lineRule="auto" w:line="360"/>
        <w:ind w:left="680" w:hanging="340"/>
        <w:jc w:val="both"/>
        <w:rPr>
          <w:color w:val="000000"/>
        </w:rPr>
      </w:pPr>
      <w:r>
        <w:rPr>
          <w:color w:val="000000"/>
        </w:rPr>
        <w:t>Warunkiem uczestnictwa w Przeglądzie jest przesłanie dokładnie i czytelnie wypełnionej karty zgłoszenia na adres Centrum Profilaktyki i Terapii Uzależnień w Malborku,</w:t>
        <w:br/>
        <w:t>ul. Nowowiejskiego 48, 82-200 Malbork.</w:t>
      </w:r>
      <w:r/>
    </w:p>
    <w:p>
      <w:pPr>
        <w:pStyle w:val="Normal"/>
        <w:widowControl/>
        <w:numPr>
          <w:ilvl w:val="1"/>
          <w:numId w:val="1"/>
        </w:numPr>
        <w:tabs>
          <w:tab w:val="left" w:pos="738" w:leader="none"/>
        </w:tabs>
        <w:spacing w:lineRule="auto" w:line="360"/>
        <w:ind w:left="680" w:hanging="340"/>
        <w:jc w:val="both"/>
      </w:pPr>
      <w:r>
        <w:rPr>
          <w:rStyle w:val="Domylnaczcionkaakapitu"/>
          <w:b/>
          <w:bCs/>
          <w:color w:val="000000"/>
        </w:rPr>
        <w:t>Karty zgłoszeń należy nadsyłać na adres Centrum do dnia 10 maja 2019 r.</w:t>
        <w:br/>
        <w:t>z dopiskiem XII Malborski Przegląd Spektakli Profilaktycznych</w:t>
      </w:r>
      <w:r>
        <w:rPr>
          <w:rStyle w:val="Domylnaczcionkaakapitu"/>
          <w:color w:val="000000"/>
        </w:rPr>
        <w:t xml:space="preserve"> (decyduje data stempla pocztowego).</w:t>
      </w:r>
      <w:r/>
    </w:p>
    <w:p>
      <w:pPr>
        <w:pStyle w:val="Normal"/>
        <w:widowControl/>
        <w:numPr>
          <w:ilvl w:val="1"/>
          <w:numId w:val="1"/>
        </w:numPr>
        <w:tabs>
          <w:tab w:val="left" w:pos="738" w:leader="none"/>
        </w:tabs>
        <w:spacing w:lineRule="auto" w:line="360"/>
        <w:ind w:left="680" w:hanging="340"/>
        <w:jc w:val="both"/>
      </w:pPr>
      <w:r>
        <w:rPr>
          <w:rStyle w:val="Domylnaczcionkaakapitu"/>
          <w:color w:val="000000"/>
        </w:rPr>
        <w:t>Regulamin konkursu i karty zgłoszeń dostępne są na stronie internetowej CPiTU</w:t>
        <w:br/>
        <w:t xml:space="preserve">w Malborku- </w:t>
      </w:r>
      <w:hyperlink r:id="rId2" w:tgtFrame="_top">
        <w:r>
          <w:rPr>
            <w:rStyle w:val="Czeinternetowe"/>
            <w:color w:val="000000"/>
          </w:rPr>
          <w:t>www.cpu.malbork.</w:t>
        </w:r>
      </w:hyperlink>
      <w:hyperlink r:id="rId3" w:tgtFrame="_top">
        <w:r>
          <w:rPr>
            <w:rStyle w:val="Czeinternetowe"/>
            <w:color w:val="000000"/>
          </w:rPr>
          <w:t>pl</w:t>
        </w:r>
      </w:hyperlink>
      <w:r>
        <w:rPr>
          <w:rStyle w:val="Domylnaczcionkaakapitu"/>
          <w:color w:val="000000"/>
        </w:rPr>
        <w:t>, w zakładce Dokumenty do pobrania</w:t>
      </w:r>
      <w:r/>
    </w:p>
    <w:p>
      <w:pPr>
        <w:pStyle w:val="Normal"/>
        <w:widowControl/>
        <w:numPr>
          <w:ilvl w:val="1"/>
          <w:numId w:val="1"/>
        </w:numPr>
        <w:tabs>
          <w:tab w:val="left" w:pos="738" w:leader="none"/>
        </w:tabs>
        <w:spacing w:lineRule="auto" w:line="360"/>
        <w:ind w:left="680" w:hanging="340"/>
        <w:jc w:val="both"/>
        <w:rPr>
          <w:color w:val="000000"/>
        </w:rPr>
      </w:pPr>
      <w:r>
        <w:rPr>
          <w:color w:val="000000"/>
        </w:rPr>
        <w:t>Podsumowanie Przeglądu z wręczeniem nagród będzie miało miejsce po zakończonych prezentacjach.</w:t>
      </w:r>
      <w:r/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Normal"/>
        <w:spacing w:lineRule="auto" w:line="360"/>
        <w:jc w:val="both"/>
        <w:rPr>
          <w:u w:val="single"/>
          <w:color w:val="000000"/>
        </w:rPr>
      </w:pPr>
      <w:r>
        <w:rPr>
          <w:color w:val="000000"/>
          <w:u w:val="single"/>
        </w:rPr>
        <w:t>Postanowienia końcowe:</w:t>
      </w:r>
      <w:r/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color w:val="000000"/>
        </w:rPr>
      </w:pPr>
      <w:r>
        <w:rPr>
          <w:color w:val="000000"/>
        </w:rPr>
        <w:t>Postanowienia niniejszego regulaminu są wyłączną podstawą prowadzenia konkursu, a ich wykładnia i interpretacja należy do organizatora.</w:t>
      </w:r>
      <w:r/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color w:val="000000"/>
        </w:rPr>
      </w:pPr>
      <w:r>
        <w:rPr>
          <w:color w:val="000000"/>
        </w:rPr>
        <w:t>Organizator zastrzega sobie prawo do zmiany zasad konkursu i treści regulaminu.</w:t>
      </w:r>
      <w:r/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Organizator zastrzega sobie możliwość odwołania konkursu w przypadku zgłoszenia się mniejszej niż minimalnej liczby tj. 5 zespołów.   </w:t>
      </w:r>
      <w:r/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Zespoły powinny mieć odpowiednią liczbę opiekunów, gwarantujących porządek </w:t>
        <w:br/>
        <w:t>i bezpieczeństwo uczestników.</w:t>
      </w:r>
      <w:r/>
    </w:p>
    <w:p>
      <w:pPr>
        <w:pStyle w:val="Normal"/>
        <w:numPr>
          <w:ilvl w:val="0"/>
          <w:numId w:val="5"/>
        </w:numPr>
        <w:spacing w:lineRule="auto" w:line="360"/>
        <w:jc w:val="both"/>
      </w:pPr>
      <w:r>
        <w:rPr>
          <w:rStyle w:val="Domylnaczcionkaakapitu"/>
          <w:color w:val="000000"/>
        </w:rPr>
        <w:t>Nadesłanie karty zgłoszenia jest jednoznaczne z akceptacją regulaminu konkursu.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fixed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character" w:styleId="Domylnaczcionkaakapitu">
    <w:name w:val="Domyślna czcionka akapitu"/>
    <w:rPr/>
  </w:style>
  <w:style w:type="character" w:styleId="Znakinumeracji">
    <w:name w:val="Znaki numeracji"/>
    <w:rPr/>
  </w:style>
  <w:style w:type="character" w:styleId="Mocnowyrniony">
    <w:name w:val="Mocno wyróżniony"/>
    <w:rPr>
      <w:b/>
      <w:bCs/>
    </w:rPr>
  </w:style>
  <w:style w:type="character" w:styleId="WW8Num2z0">
    <w:name w:val="WW8Num2z0"/>
    <w:rPr>
      <w:rFonts w:ascii="Symbol" w:hAnsi="Symbol" w:eastAsia="Symbol" w:cs="Symbol"/>
      <w:color w:val="000000"/>
    </w:rPr>
  </w:style>
  <w:style w:type="character" w:styleId="WW8Num2z1">
    <w:name w:val="WW8Num2z1"/>
    <w:rPr>
      <w:color w:val="000000"/>
    </w:rPr>
  </w:style>
  <w:style w:type="character" w:styleId="WW8Num2z2">
    <w:name w:val="WW8Num2z2"/>
    <w:rPr>
      <w:rFonts w:ascii="Wingdings" w:hAnsi="Wingdings" w:eastAsia="Wingdings" w:cs="Wingdings"/>
    </w:rPr>
  </w:style>
  <w:style w:type="character" w:styleId="WW8Num2z3">
    <w:name w:val="WW8Num2z3"/>
    <w:rPr>
      <w:rFonts w:ascii="Symbol" w:hAnsi="Symbol" w:eastAsia="Symbol" w:cs="Symbol"/>
    </w:rPr>
  </w:style>
  <w:style w:type="character" w:styleId="WW8Num2z4">
    <w:name w:val="WW8Num2z4"/>
    <w:rPr>
      <w:rFonts w:ascii="Courier New" w:hAnsi="Courier New" w:eastAsia="Courier New" w:cs="Courier New"/>
    </w:rPr>
  </w:style>
  <w:style w:type="character" w:styleId="Czeinternetowe">
    <w:name w:val="Łącze internetowe"/>
    <w:rPr>
      <w:color w:val="000080"/>
      <w:u w:val="single"/>
    </w:rPr>
  </w:style>
  <w:style w:type="character" w:styleId="Odwiedzoneczeinternetowe">
    <w:name w:val="Odwiedzone łącze internetowe"/>
    <w:rPr>
      <w:color w:val="800000"/>
      <w:u w:val="single"/>
    </w:rPr>
  </w:style>
  <w:style w:type="character" w:styleId="WWCharLFO1LVL1">
    <w:name w:val="WW_CharLFO1LVL1"/>
    <w:rPr>
      <w:rFonts w:ascii="Symbol" w:hAnsi="Symbol" w:cs="Symbol"/>
      <w:color w:val="000000"/>
    </w:rPr>
  </w:style>
  <w:style w:type="character" w:styleId="WWCharLFO1LVL2">
    <w:name w:val="WW_CharLFO1LVL2"/>
    <w:rPr>
      <w:color w:val="000000"/>
    </w:rPr>
  </w:style>
  <w:style w:type="character" w:styleId="WWCharLFO1LVL3">
    <w:name w:val="WW_CharLFO1LVL3"/>
    <w:rPr>
      <w:rFonts w:ascii="Wingdings" w:hAnsi="Wingdings" w:cs="Wingdings"/>
    </w:rPr>
  </w:style>
  <w:style w:type="character" w:styleId="WWCharLFO1LVL4">
    <w:name w:val="WW_CharLFO1LVL4"/>
    <w:rPr>
      <w:rFonts w:ascii="Symbol" w:hAnsi="Symbol" w:cs="Symbol"/>
    </w:rPr>
  </w:style>
  <w:style w:type="character" w:styleId="WWCharLFO1LVL5">
    <w:name w:val="WW_CharLFO1LVL5"/>
    <w:rPr>
      <w:rFonts w:ascii="Courier New" w:hAnsi="Courier New" w:cs="Courier New"/>
    </w:rPr>
  </w:style>
  <w:style w:type="character" w:styleId="WWCharLFO1LVL6">
    <w:name w:val="WW_CharLFO1LVL6"/>
    <w:rPr>
      <w:rFonts w:ascii="Wingdings" w:hAnsi="Wingdings" w:cs="Wingdings"/>
    </w:rPr>
  </w:style>
  <w:style w:type="character" w:styleId="WWCharLFO1LVL7">
    <w:name w:val="WW_CharLFO1LVL7"/>
    <w:rPr>
      <w:rFonts w:ascii="Symbol" w:hAnsi="Symbol" w:cs="Symbol"/>
    </w:rPr>
  </w:style>
  <w:style w:type="character" w:styleId="WWCharLFO1LVL8">
    <w:name w:val="WW_CharLFO1LVL8"/>
    <w:rPr>
      <w:rFonts w:ascii="Courier New" w:hAnsi="Courier New" w:cs="Courier New"/>
    </w:rPr>
  </w:style>
  <w:style w:type="character" w:styleId="WWCharLFO1LVL9">
    <w:name w:val="WW_CharLFO1LVL9"/>
    <w:rPr>
      <w:rFonts w:ascii="Wingdings" w:hAnsi="Wingdings" w:cs="Wingdings"/>
    </w:rPr>
  </w:style>
  <w:style w:type="paragraph" w:styleId="Normalny">
    <w:name w:val="Normalny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paragraph" w:styleId="Nagwek">
    <w:name w:val="Nagłówek"/>
    <w:basedOn w:val="Normal"/>
    <w:next w:val="Tretekstu"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Treść tekstu"/>
    <w:basedOn w:val="Normal"/>
    <w:pPr>
      <w:suppressAutoHyphens w:val="true"/>
      <w:spacing w:before="0" w:after="120"/>
    </w:pPr>
    <w:rPr/>
  </w:style>
  <w:style w:type="paragraph" w:styleId="Lista">
    <w:name w:val="Lista"/>
    <w:basedOn w:val="Tretekstu"/>
    <w:pPr>
      <w:suppressAutoHyphens w:val="true"/>
    </w:pPr>
    <w:rPr/>
  </w:style>
  <w:style w:type="paragraph" w:styleId="Legenda">
    <w:name w:val="Legenda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pPr>
      <w:suppressLineNumbers/>
      <w:suppressAutoHyphens w:val="true"/>
    </w:pPr>
    <w:rPr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pu.malbork.pl/" TargetMode="External"/><Relationship Id="rId3" Type="http://schemas.openxmlformats.org/officeDocument/2006/relationships/hyperlink" Target="http://www.cpu.malbork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1680</TotalTime>
  <Application>LibreOffice/4.3.3.2$Windows_x86 LibreOffice_project/9bb7eadab57b6755b1265afa86e04bf45fbfc644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language>pl-PL</dc:language>
  <cp:lastModifiedBy>CPiTU3</cp:lastModifiedBy>
  <cp:lastPrinted>2017-04-04T13:52:00Z</cp:lastPrinted>
  <dcterms:modified xsi:type="dcterms:W3CDTF">2019-02-25T13:58:00Z</dcterms:modified>
  <cp:revision>6</cp:revision>
</cp:coreProperties>
</file>